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6"/>
          <w:shd w:fill="auto" w:val="clear"/>
        </w:rPr>
        <w:t xml:space="preserve">Живопись гр 6/8 . (Преп. Дятлова Е.А.) 15.02.2022г.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Тема:  Гармония по общему цветовому тону.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Цель: Использование приёмов работы акварелью. 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Задача: Передача тоном и цветом нюансов родственных по гамме цветов.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Задание:  Натюрморт с корзиной и грибами на светлом теплом фоне 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без складок.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Материалы: Акварель,кисточка, простой карандаш,  бумага формата А3. 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Пример натюрморта: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object w:dxaOrig="5625" w:dyaOrig="4215">
          <v:rect xmlns:o="urn:schemas-microsoft-com:office:office" xmlns:v="urn:schemas-microsoft-com:vml" id="rectole0000000000" style="width:281.250000pt;height:210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object w:dxaOrig="4545" w:dyaOrig="2489">
          <v:rect xmlns:o="urn:schemas-microsoft-com:office:office" xmlns:v="urn:schemas-microsoft-com:vml" id="rectole0000000001" style="width:227.250000pt;height:124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object w:dxaOrig="4004" w:dyaOrig="2835">
          <v:rect xmlns:o="urn:schemas-microsoft-com:office:office" xmlns:v="urn:schemas-microsoft-com:vml" id="rectole0000000002" style="width:200.200000pt;height:141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Приступаем к работе:  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Выбираем горизонтальный или вертикальный формат рисунка.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Сначала делаем еле заметный эскиз простым карандашом, соблюдая пропорции рисунка и предметов.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Делаем более детальную прорисовку. 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Как только выполнили карандашом зарисовку, приступаем к заполнению рисунка цветом.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Далее выполняем общий эскиз цветового решения. Как мы видим, он ведется способом начального живописного подмалевка для последующих лессировок, в манере свободного письма. Одни части, к примеру корзины, более закончены, другие еще не тронуты краской. По данному подготовительному рисунку можно проследить ход мысли автора. Здесь в предварительном эскизе уже определена композиция на листе, намечены различия между теплым и холодным цветом. Мы видим, что корзина и грибы имеют различные оттенки цветов.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Одновременно, при живописи акварелью, помните, что краска по высыхании становится более светлой. Поэтому чтобы работа правильно отображала реальность, кладите краску более насыщенную, чем она вам видится в натуре.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Проложив свет, устанавливайте полутень, а затем тень. Свет может несколько захватывать полутень, полутень может захватывать тень. Тени на корзине под воздействием рефлексов будут отличаться между собой и по светосиле, и по оттенку цвета.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Примеры натюрмортов: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