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Живопись гр 5/8 . (Преп. Дятлова Е.А.) 8.02.2022г.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Тема: Гармония по общему цветовому тону.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Влияние цветовой среды на предметы.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Передача формы предмета с учетом изменения цвета от освещения.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Задание: Натюрморт с простым предметом быта цилиндрической формы (кастрюля) с фруктами в холодной гамме при теплом освещении на нейтральном фоне.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Акварель,кисточка, простой карандаш,  бумага формата А3.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Этапы работы над натюрмортом: эскиз, расположение предметов на листе -компоновка, линейное построение предметов.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Начиная работу с цветом надо передавать его более обобщенно, выделяя лишь основные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отношения на свету и в тени.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Тональный разбор больших локальных цветовых плоскостей.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Лепка цветом объема и формы передавая объемные предметы, мы имеем дело не только с цветом, но и бликами, тенями, полутенями, рефлексами.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Блик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это отражение источника света. Чем более блестящая поверхность, тем сильнее и ярче блик.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 противоположной стороны находится тень, она не бывает одноцветной и одинаковой силы.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теневой стороне встречаются более светлые пятна различных оттенков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это отражение находящихся рядом предметов или драпировок, то есть рефлексы.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Тени на самих предметах называются собственными, а отражения от них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падающими.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Форма падающей тени зависит от формы предмета. Места предметов, освещенные скользящим светом, называются полутенями и располагаются между светом и тенью.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Все цвета подразделяются на теплые и холодные. Теплые цвета: красный, оранжевый, желтоватый, зеленый; холодные: синий, фиолетовый, сине-зеленый.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 поэтапного ведения работы: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4770" w:dyaOrig="2385">
          <v:rect xmlns:o="urn:schemas-microsoft-com:office:office" xmlns:v="urn:schemas-microsoft-com:vml" id="rectole0000000000" style="width:238.500000pt;height:119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Примеры акварельных работ: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795" w:dyaOrig="2984">
          <v:rect xmlns:o="urn:schemas-microsoft-com:office:office" xmlns:v="urn:schemas-microsoft-com:vml" id="rectole0000000001" style="width:189.750000pt;height:149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2910" w:dyaOrig="3899">
          <v:rect xmlns:o="urn:schemas-microsoft-com:office:office" xmlns:v="urn:schemas-microsoft-com:vml" id="rectole0000000002" style="width:145.500000pt;height:194.9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6630" w:dyaOrig="4800">
          <v:rect xmlns:o="urn:schemas-microsoft-com:office:office" xmlns:v="urn:schemas-microsoft-com:vml" id="rectole0000000003" style="width:331.500000pt;height:240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